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AF666">
      <w:pPr>
        <w:widowControl/>
        <w:jc w:val="center"/>
        <w:rPr>
          <w:rFonts w:ascii="宋体" w:hAnsi="宋体" w:cs="宋体"/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202</w:t>
      </w:r>
      <w:r>
        <w:rPr>
          <w:rFonts w:hint="eastAsia"/>
          <w:b/>
          <w:bCs/>
          <w:sz w:val="40"/>
          <w:szCs w:val="40"/>
        </w:rPr>
        <w:t>5年度广东省科学技术奖公示表</w:t>
      </w:r>
    </w:p>
    <w:p w14:paraId="19A46BEB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（科技进步奖）</w:t>
      </w:r>
    </w:p>
    <w:p w14:paraId="75CA9240">
      <w:pPr>
        <w:adjustRightInd w:val="0"/>
        <w:snapToGrid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项目名称：</w:t>
      </w:r>
      <w:r>
        <w:rPr>
          <w:rFonts w:hint="eastAsia" w:ascii="仿宋" w:hAnsi="仿宋" w:eastAsia="仿宋"/>
          <w:bCs/>
          <w:sz w:val="28"/>
          <w:szCs w:val="28"/>
        </w:rPr>
        <w:t>食品制造与物流接触材料检测和风险评估关键技术及其应用创新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p w14:paraId="4FD4DC39">
      <w:pPr>
        <w:adjustRightInd w:val="0"/>
        <w:snapToGrid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提名者：</w:t>
      </w:r>
      <w:r>
        <w:rPr>
          <w:rFonts w:hint="eastAsia" w:ascii="仿宋" w:hAnsi="仿宋" w:eastAsia="仿宋"/>
          <w:bCs/>
          <w:sz w:val="28"/>
          <w:szCs w:val="28"/>
        </w:rPr>
        <w:t>广东省教育厅</w:t>
      </w:r>
      <w:r>
        <w:rPr>
          <w:rFonts w:ascii="仿宋" w:hAnsi="仿宋" w:eastAsia="仿宋"/>
          <w:bCs/>
          <w:sz w:val="28"/>
          <w:szCs w:val="28"/>
        </w:rPr>
        <w:t xml:space="preserve">(省委教育工作委员会) </w:t>
      </w:r>
    </w:p>
    <w:p w14:paraId="75B17DBA">
      <w:pPr>
        <w:adjustRightInd w:val="0"/>
        <w:snapToGrid w:val="0"/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主要完成人：</w:t>
      </w:r>
      <w:r>
        <w:rPr>
          <w:rFonts w:hint="eastAsia" w:ascii="仿宋" w:hAnsi="仿宋" w:eastAsia="仿宋"/>
          <w:bCs/>
          <w:sz w:val="28"/>
          <w:szCs w:val="28"/>
        </w:rPr>
        <w:t>王志伟、朱蕾、胡玉玲、胡长鹰、夏伊宁、卢立新、仇凯、张泓、郑彦婕、吴刚、徐莉、支朝晖、杨俊</w:t>
      </w:r>
    </w:p>
    <w:p w14:paraId="70A00338">
      <w:pPr>
        <w:adjustRightInd w:val="0"/>
        <w:snapToGrid w:val="0"/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主要完成单位：</w:t>
      </w:r>
      <w:r>
        <w:rPr>
          <w:rFonts w:hint="eastAsia" w:ascii="仿宋" w:hAnsi="仿宋" w:eastAsia="仿宋"/>
          <w:bCs/>
          <w:sz w:val="28"/>
          <w:szCs w:val="28"/>
        </w:rPr>
        <w:t>暨南大学、国家食品安全风险评估中心、中山大学、</w:t>
      </w:r>
      <w:r>
        <w:rPr>
          <w:rFonts w:ascii="仿宋" w:hAnsi="仿宋" w:eastAsia="仿宋"/>
          <w:bCs/>
          <w:sz w:val="28"/>
          <w:szCs w:val="28"/>
        </w:rPr>
        <w:t>江南大学</w:t>
      </w:r>
      <w:r>
        <w:rPr>
          <w:rFonts w:hint="eastAsia" w:ascii="仿宋" w:hAnsi="仿宋" w:eastAsia="仿宋"/>
          <w:bCs/>
          <w:sz w:val="28"/>
          <w:szCs w:val="28"/>
        </w:rPr>
        <w:t>、</w:t>
      </w:r>
      <w:r>
        <w:rPr>
          <w:rFonts w:ascii="仿宋" w:hAnsi="仿宋" w:eastAsia="仿宋"/>
          <w:bCs/>
          <w:sz w:val="28"/>
          <w:szCs w:val="28"/>
        </w:rPr>
        <w:t>中国食品发酵工业研究院有限公司</w:t>
      </w:r>
      <w:r>
        <w:rPr>
          <w:rFonts w:hint="eastAsia" w:ascii="仿宋" w:hAnsi="仿宋" w:eastAsia="仿宋"/>
          <w:bCs/>
          <w:sz w:val="28"/>
          <w:szCs w:val="28"/>
        </w:rPr>
        <w:t>、</w:t>
      </w:r>
      <w:r>
        <w:rPr>
          <w:rFonts w:ascii="仿宋" w:hAnsi="仿宋" w:eastAsia="仿宋"/>
          <w:bCs/>
          <w:sz w:val="28"/>
          <w:szCs w:val="28"/>
        </w:rPr>
        <w:t>中国农业科学院农业质量标准与检测技术研究所</w:t>
      </w:r>
      <w:r>
        <w:rPr>
          <w:rFonts w:hint="eastAsia" w:ascii="仿宋" w:hAnsi="仿宋" w:eastAsia="仿宋"/>
          <w:bCs/>
          <w:sz w:val="28"/>
          <w:szCs w:val="28"/>
        </w:rPr>
        <w:t>、</w:t>
      </w:r>
      <w:r>
        <w:rPr>
          <w:rFonts w:ascii="仿宋" w:hAnsi="仿宋" w:eastAsia="仿宋"/>
          <w:bCs/>
          <w:sz w:val="28"/>
          <w:szCs w:val="28"/>
        </w:rPr>
        <w:t>深圳市计量质量检测研究院</w:t>
      </w:r>
      <w:r>
        <w:rPr>
          <w:rFonts w:hint="eastAsia" w:ascii="仿宋" w:hAnsi="仿宋" w:eastAsia="仿宋"/>
          <w:bCs/>
          <w:sz w:val="28"/>
          <w:szCs w:val="28"/>
        </w:rPr>
        <w:t>、</w:t>
      </w:r>
      <w:r>
        <w:rPr>
          <w:rFonts w:ascii="仿宋" w:hAnsi="仿宋" w:eastAsia="仿宋"/>
          <w:bCs/>
          <w:sz w:val="28"/>
          <w:szCs w:val="28"/>
        </w:rPr>
        <w:t>海口海关技术中心</w:t>
      </w:r>
      <w:r>
        <w:rPr>
          <w:rFonts w:hint="eastAsia" w:ascii="仿宋" w:hAnsi="仿宋" w:eastAsia="仿宋"/>
          <w:bCs/>
          <w:sz w:val="28"/>
          <w:szCs w:val="28"/>
        </w:rPr>
        <w:t>、</w:t>
      </w:r>
      <w:r>
        <w:rPr>
          <w:rFonts w:ascii="仿宋" w:hAnsi="仿宋" w:eastAsia="仿宋"/>
          <w:bCs/>
          <w:sz w:val="28"/>
          <w:szCs w:val="28"/>
        </w:rPr>
        <w:t>常州龙骏天纯环保科技有限公司</w:t>
      </w:r>
    </w:p>
    <w:p w14:paraId="638CAC9C">
      <w:pPr>
        <w:adjustRightInd w:val="0"/>
        <w:snapToGrid w:val="0"/>
        <w:spacing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主要知识产权和标准规范等目录（不超过10个）：</w:t>
      </w:r>
    </w:p>
    <w:tbl>
      <w:tblPr>
        <w:tblStyle w:val="5"/>
        <w:tblW w:w="98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567"/>
        <w:gridCol w:w="1984"/>
        <w:gridCol w:w="567"/>
        <w:gridCol w:w="1134"/>
        <w:gridCol w:w="709"/>
        <w:gridCol w:w="1843"/>
        <w:gridCol w:w="992"/>
        <w:gridCol w:w="992"/>
        <w:gridCol w:w="629"/>
      </w:tblGrid>
      <w:tr w14:paraId="07C26F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416" w:type="dxa"/>
            <w:vAlign w:val="center"/>
          </w:tcPr>
          <w:p w14:paraId="497FE7B5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567" w:type="dxa"/>
            <w:vAlign w:val="center"/>
          </w:tcPr>
          <w:p w14:paraId="1B9FFB00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知识产权(标准)</w:t>
            </w:r>
          </w:p>
          <w:p w14:paraId="38FB07C8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类别</w:t>
            </w:r>
          </w:p>
        </w:tc>
        <w:tc>
          <w:tcPr>
            <w:tcW w:w="1984" w:type="dxa"/>
            <w:vAlign w:val="center"/>
          </w:tcPr>
          <w:p w14:paraId="6086F736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知识产权(标准)</w:t>
            </w:r>
          </w:p>
          <w:p w14:paraId="178324EA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具体名称</w:t>
            </w:r>
          </w:p>
        </w:tc>
        <w:tc>
          <w:tcPr>
            <w:tcW w:w="567" w:type="dxa"/>
            <w:vAlign w:val="center"/>
          </w:tcPr>
          <w:p w14:paraId="2B65AE71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</w:t>
            </w:r>
          </w:p>
          <w:p w14:paraId="14A2C914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(地区)</w:t>
            </w:r>
          </w:p>
        </w:tc>
        <w:tc>
          <w:tcPr>
            <w:tcW w:w="1134" w:type="dxa"/>
            <w:vAlign w:val="center"/>
          </w:tcPr>
          <w:p w14:paraId="33023379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授权号</w:t>
            </w:r>
          </w:p>
          <w:p w14:paraId="5CF6DBB3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(标准编号)</w:t>
            </w:r>
          </w:p>
        </w:tc>
        <w:tc>
          <w:tcPr>
            <w:tcW w:w="709" w:type="dxa"/>
            <w:vAlign w:val="center"/>
          </w:tcPr>
          <w:p w14:paraId="17595055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授权(标准发布)日期</w:t>
            </w:r>
          </w:p>
        </w:tc>
        <w:tc>
          <w:tcPr>
            <w:tcW w:w="1843" w:type="dxa"/>
            <w:vAlign w:val="center"/>
          </w:tcPr>
          <w:p w14:paraId="22788F3F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证书编号</w:t>
            </w:r>
            <w:r>
              <w:rPr>
                <w:rFonts w:ascii="仿宋" w:hAnsi="仿宋" w:eastAsia="仿宋"/>
              </w:rPr>
              <w:br w:type="textWrapping"/>
            </w:r>
            <w:r>
              <w:rPr>
                <w:rFonts w:hint="eastAsia" w:ascii="仿宋" w:hAnsi="仿宋" w:eastAsia="仿宋"/>
              </w:rPr>
              <w:t>(标准批准发布部门)</w:t>
            </w:r>
          </w:p>
        </w:tc>
        <w:tc>
          <w:tcPr>
            <w:tcW w:w="992" w:type="dxa"/>
            <w:vAlign w:val="center"/>
          </w:tcPr>
          <w:p w14:paraId="454A2C3A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权利人(标准起草单位)</w:t>
            </w:r>
          </w:p>
        </w:tc>
        <w:tc>
          <w:tcPr>
            <w:tcW w:w="992" w:type="dxa"/>
            <w:vAlign w:val="center"/>
          </w:tcPr>
          <w:p w14:paraId="0C18FB48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发明人(标准起草人)</w:t>
            </w:r>
          </w:p>
        </w:tc>
        <w:tc>
          <w:tcPr>
            <w:tcW w:w="629" w:type="dxa"/>
            <w:vAlign w:val="center"/>
          </w:tcPr>
          <w:p w14:paraId="50E98B98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发明专利(标准)有效状态</w:t>
            </w:r>
          </w:p>
        </w:tc>
      </w:tr>
      <w:tr w14:paraId="59D08F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0D7378F0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bookmarkStart w:id="0" w:name="_Hlk217652603"/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567" w:type="dxa"/>
            <w:vAlign w:val="center"/>
          </w:tcPr>
          <w:p w14:paraId="69B4F20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发明专利</w:t>
            </w:r>
          </w:p>
        </w:tc>
        <w:tc>
          <w:tcPr>
            <w:tcW w:w="1984" w:type="dxa"/>
            <w:vAlign w:val="center"/>
          </w:tcPr>
          <w:p w14:paraId="62ABBC3D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一种疏水性固态</w:t>
            </w:r>
            <w:r>
              <w:rPr>
                <w:rFonts w:ascii="仿宋" w:hAnsi="仿宋" w:eastAsia="仿宋"/>
              </w:rPr>
              <w:t>SERS基底及其制备方法和应用</w:t>
            </w:r>
          </w:p>
        </w:tc>
        <w:tc>
          <w:tcPr>
            <w:tcW w:w="567" w:type="dxa"/>
            <w:vAlign w:val="center"/>
          </w:tcPr>
          <w:p w14:paraId="5BCCF0F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2B87AB7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ZL 2021 1 1256146.9</w:t>
            </w:r>
          </w:p>
        </w:tc>
        <w:tc>
          <w:tcPr>
            <w:tcW w:w="709" w:type="dxa"/>
            <w:vAlign w:val="center"/>
          </w:tcPr>
          <w:p w14:paraId="51012AF5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2024-03-01</w:t>
            </w:r>
          </w:p>
        </w:tc>
        <w:tc>
          <w:tcPr>
            <w:tcW w:w="1843" w:type="dxa"/>
            <w:vAlign w:val="center"/>
          </w:tcPr>
          <w:p w14:paraId="5A2963F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</w:t>
            </w:r>
            <w:r>
              <w:rPr>
                <w:rFonts w:ascii="仿宋" w:hAnsi="仿宋" w:eastAsia="仿宋"/>
              </w:rPr>
              <w:t>6751860号</w:t>
            </w:r>
          </w:p>
        </w:tc>
        <w:tc>
          <w:tcPr>
            <w:tcW w:w="992" w:type="dxa"/>
            <w:vAlign w:val="center"/>
          </w:tcPr>
          <w:p w14:paraId="6029C62B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中山大学</w:t>
            </w:r>
          </w:p>
        </w:tc>
        <w:tc>
          <w:tcPr>
            <w:tcW w:w="992" w:type="dxa"/>
            <w:vAlign w:val="center"/>
          </w:tcPr>
          <w:p w14:paraId="56EA0735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胡玉玲</w:t>
            </w:r>
            <w:r>
              <w:rPr>
                <w:rFonts w:ascii="仿宋" w:hAnsi="仿宋" w:eastAsia="仿宋"/>
              </w:rPr>
              <w:t>;葛琨;李攻科</w:t>
            </w:r>
          </w:p>
        </w:tc>
        <w:tc>
          <w:tcPr>
            <w:tcW w:w="629" w:type="dxa"/>
            <w:vAlign w:val="center"/>
          </w:tcPr>
          <w:p w14:paraId="5E9CEC4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41CDA6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2292BA6E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567" w:type="dxa"/>
            <w:vAlign w:val="center"/>
          </w:tcPr>
          <w:p w14:paraId="60682EF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发明专利</w:t>
            </w:r>
          </w:p>
        </w:tc>
        <w:tc>
          <w:tcPr>
            <w:tcW w:w="1984" w:type="dxa"/>
            <w:vAlign w:val="center"/>
          </w:tcPr>
          <w:p w14:paraId="34E6909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一种三聚氰胺和甲醛的表面增强拉曼光谱检测方法</w:t>
            </w:r>
          </w:p>
        </w:tc>
        <w:tc>
          <w:tcPr>
            <w:tcW w:w="567" w:type="dxa"/>
            <w:vAlign w:val="center"/>
          </w:tcPr>
          <w:p w14:paraId="298B4B1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7B833D7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ZL 2021 1 0120617.7</w:t>
            </w:r>
          </w:p>
        </w:tc>
        <w:tc>
          <w:tcPr>
            <w:tcW w:w="709" w:type="dxa"/>
            <w:vAlign w:val="center"/>
          </w:tcPr>
          <w:p w14:paraId="48F67A9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2022-06-24</w:t>
            </w:r>
          </w:p>
        </w:tc>
        <w:tc>
          <w:tcPr>
            <w:tcW w:w="1843" w:type="dxa"/>
            <w:vAlign w:val="center"/>
          </w:tcPr>
          <w:p w14:paraId="2A1D749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</w:t>
            </w:r>
            <w:r>
              <w:rPr>
                <w:rFonts w:ascii="仿宋" w:hAnsi="仿宋" w:eastAsia="仿宋"/>
              </w:rPr>
              <w:t>5253949号</w:t>
            </w:r>
          </w:p>
        </w:tc>
        <w:tc>
          <w:tcPr>
            <w:tcW w:w="992" w:type="dxa"/>
            <w:vAlign w:val="center"/>
          </w:tcPr>
          <w:p w14:paraId="3FEC1F0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中山大学</w:t>
            </w:r>
          </w:p>
        </w:tc>
        <w:tc>
          <w:tcPr>
            <w:tcW w:w="992" w:type="dxa"/>
            <w:vAlign w:val="center"/>
          </w:tcPr>
          <w:p w14:paraId="44E71E6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胡玉玲</w:t>
            </w:r>
            <w:r>
              <w:rPr>
                <w:rFonts w:ascii="仿宋" w:hAnsi="仿宋" w:eastAsia="仿宋"/>
              </w:rPr>
              <w:t>;葛琨;李攻科</w:t>
            </w:r>
          </w:p>
        </w:tc>
        <w:tc>
          <w:tcPr>
            <w:tcW w:w="629" w:type="dxa"/>
            <w:vAlign w:val="center"/>
          </w:tcPr>
          <w:p w14:paraId="0103E46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010375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75275DEB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567" w:type="dxa"/>
            <w:vAlign w:val="center"/>
          </w:tcPr>
          <w:p w14:paraId="0ADEEC6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发明专利</w:t>
            </w:r>
          </w:p>
        </w:tc>
        <w:tc>
          <w:tcPr>
            <w:tcW w:w="1984" w:type="dxa"/>
            <w:vAlign w:val="center"/>
          </w:tcPr>
          <w:p w14:paraId="6C2E667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一种共价有机框架萃取膜及其制备方法和应用</w:t>
            </w:r>
          </w:p>
        </w:tc>
        <w:tc>
          <w:tcPr>
            <w:tcW w:w="567" w:type="dxa"/>
            <w:vAlign w:val="center"/>
          </w:tcPr>
          <w:p w14:paraId="3327D4BB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6870367A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ZL 2021 1 0126520.7</w:t>
            </w:r>
          </w:p>
        </w:tc>
        <w:tc>
          <w:tcPr>
            <w:tcW w:w="709" w:type="dxa"/>
            <w:vAlign w:val="center"/>
          </w:tcPr>
          <w:p w14:paraId="1BA3610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2023-10-20</w:t>
            </w:r>
          </w:p>
        </w:tc>
        <w:tc>
          <w:tcPr>
            <w:tcW w:w="1843" w:type="dxa"/>
            <w:vAlign w:val="center"/>
          </w:tcPr>
          <w:p w14:paraId="73124070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</w:t>
            </w:r>
            <w:r>
              <w:rPr>
                <w:rFonts w:ascii="仿宋" w:hAnsi="仿宋" w:eastAsia="仿宋"/>
              </w:rPr>
              <w:t>6416066号</w:t>
            </w:r>
          </w:p>
        </w:tc>
        <w:tc>
          <w:tcPr>
            <w:tcW w:w="992" w:type="dxa"/>
            <w:vAlign w:val="center"/>
          </w:tcPr>
          <w:p w14:paraId="7759E27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中山大学</w:t>
            </w:r>
          </w:p>
        </w:tc>
        <w:tc>
          <w:tcPr>
            <w:tcW w:w="992" w:type="dxa"/>
            <w:vAlign w:val="center"/>
          </w:tcPr>
          <w:p w14:paraId="089E070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胡玉玲</w:t>
            </w:r>
            <w:r>
              <w:rPr>
                <w:rFonts w:ascii="仿宋" w:hAnsi="仿宋" w:eastAsia="仿宋"/>
              </w:rPr>
              <w:t>;梁瑞钰;卢梓程;李攻科</w:t>
            </w:r>
          </w:p>
        </w:tc>
        <w:tc>
          <w:tcPr>
            <w:tcW w:w="629" w:type="dxa"/>
            <w:vAlign w:val="center"/>
          </w:tcPr>
          <w:p w14:paraId="7770FE50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407D13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31245FCE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567" w:type="dxa"/>
            <w:vAlign w:val="center"/>
          </w:tcPr>
          <w:p w14:paraId="64AE4D69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发明专利</w:t>
            </w:r>
          </w:p>
        </w:tc>
        <w:tc>
          <w:tcPr>
            <w:tcW w:w="1984" w:type="dxa"/>
            <w:vAlign w:val="center"/>
          </w:tcPr>
          <w:p w14:paraId="2AFD3BC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一种阳离子碳点及其制备方法与在纳米银检测中的应用</w:t>
            </w:r>
          </w:p>
        </w:tc>
        <w:tc>
          <w:tcPr>
            <w:tcW w:w="567" w:type="dxa"/>
            <w:vAlign w:val="center"/>
          </w:tcPr>
          <w:p w14:paraId="2DE9C33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359BD4FA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ZL 2019 1 0962181.9</w:t>
            </w:r>
          </w:p>
        </w:tc>
        <w:tc>
          <w:tcPr>
            <w:tcW w:w="709" w:type="dxa"/>
            <w:vAlign w:val="center"/>
          </w:tcPr>
          <w:p w14:paraId="2F40BDD9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2022-03-01</w:t>
            </w:r>
          </w:p>
        </w:tc>
        <w:tc>
          <w:tcPr>
            <w:tcW w:w="1843" w:type="dxa"/>
            <w:vAlign w:val="center"/>
          </w:tcPr>
          <w:p w14:paraId="244464F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</w:t>
            </w:r>
            <w:r>
              <w:rPr>
                <w:rFonts w:ascii="仿宋" w:hAnsi="仿宋" w:eastAsia="仿宋"/>
              </w:rPr>
              <w:t>4964545号</w:t>
            </w:r>
          </w:p>
        </w:tc>
        <w:tc>
          <w:tcPr>
            <w:tcW w:w="992" w:type="dxa"/>
            <w:vAlign w:val="center"/>
          </w:tcPr>
          <w:p w14:paraId="05DE169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中国农业科学院农业质量标准与检测技术研究所</w:t>
            </w:r>
          </w:p>
        </w:tc>
        <w:tc>
          <w:tcPr>
            <w:tcW w:w="992" w:type="dxa"/>
            <w:vAlign w:val="center"/>
          </w:tcPr>
          <w:p w14:paraId="33EEC6D9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夏伊宁、邱静、钱永忠</w:t>
            </w:r>
          </w:p>
        </w:tc>
        <w:tc>
          <w:tcPr>
            <w:tcW w:w="629" w:type="dxa"/>
            <w:vAlign w:val="center"/>
          </w:tcPr>
          <w:p w14:paraId="1F34576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59CEA4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2F529E57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567" w:type="dxa"/>
            <w:vAlign w:val="center"/>
          </w:tcPr>
          <w:p w14:paraId="08E7548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发明专利</w:t>
            </w:r>
          </w:p>
        </w:tc>
        <w:tc>
          <w:tcPr>
            <w:tcW w:w="1984" w:type="dxa"/>
            <w:vAlign w:val="center"/>
          </w:tcPr>
          <w:p w14:paraId="208562D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一种磁性六价铬印迹吸附材料的制备方法</w:t>
            </w:r>
          </w:p>
        </w:tc>
        <w:tc>
          <w:tcPr>
            <w:tcW w:w="567" w:type="dxa"/>
            <w:vAlign w:val="center"/>
          </w:tcPr>
          <w:p w14:paraId="7C880B7D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72217EE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ZL 2021 1 0066280.6</w:t>
            </w:r>
          </w:p>
        </w:tc>
        <w:tc>
          <w:tcPr>
            <w:tcW w:w="709" w:type="dxa"/>
            <w:vAlign w:val="center"/>
          </w:tcPr>
          <w:p w14:paraId="4BED4F20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2023-04-28</w:t>
            </w:r>
          </w:p>
        </w:tc>
        <w:tc>
          <w:tcPr>
            <w:tcW w:w="1843" w:type="dxa"/>
            <w:vAlign w:val="center"/>
          </w:tcPr>
          <w:p w14:paraId="1284BA0D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第</w:t>
            </w:r>
            <w:r>
              <w:rPr>
                <w:rFonts w:ascii="仿宋" w:hAnsi="仿宋" w:eastAsia="仿宋"/>
              </w:rPr>
              <w:t>5927172号</w:t>
            </w:r>
          </w:p>
        </w:tc>
        <w:tc>
          <w:tcPr>
            <w:tcW w:w="992" w:type="dxa"/>
            <w:vAlign w:val="center"/>
          </w:tcPr>
          <w:p w14:paraId="3197AC30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江南大学</w:t>
            </w:r>
          </w:p>
        </w:tc>
        <w:tc>
          <w:tcPr>
            <w:tcW w:w="992" w:type="dxa"/>
            <w:vAlign w:val="center"/>
          </w:tcPr>
          <w:p w14:paraId="1EBD6DD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卢立新</w:t>
            </w:r>
            <w:r>
              <w:rPr>
                <w:rFonts w:ascii="仿宋" w:hAnsi="仿宋" w:eastAsia="仿宋"/>
              </w:rPr>
              <w:t>;郭闯;卢莉璟;潘嘹;陈曦</w:t>
            </w:r>
          </w:p>
        </w:tc>
        <w:tc>
          <w:tcPr>
            <w:tcW w:w="629" w:type="dxa"/>
            <w:vAlign w:val="center"/>
          </w:tcPr>
          <w:p w14:paraId="272DCD89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bookmarkEnd w:id="0"/>
      <w:tr w14:paraId="673A5C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32A3B43B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567" w:type="dxa"/>
            <w:vAlign w:val="center"/>
          </w:tcPr>
          <w:p w14:paraId="499B252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国家标准</w:t>
            </w:r>
          </w:p>
        </w:tc>
        <w:tc>
          <w:tcPr>
            <w:tcW w:w="1984" w:type="dxa"/>
            <w:vAlign w:val="center"/>
          </w:tcPr>
          <w:p w14:paraId="24AD7DD0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食品安全国家标准</w:t>
            </w:r>
            <w:r>
              <w:rPr>
                <w:rFonts w:ascii="仿宋" w:hAnsi="仿宋" w:eastAsia="仿宋"/>
              </w:rPr>
              <w:t xml:space="preserve"> 食品接触材料及制品 迁移试验通则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B371A9A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23B8924A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GB 31604.1</w:t>
            </w:r>
          </w:p>
        </w:tc>
        <w:tc>
          <w:tcPr>
            <w:tcW w:w="709" w:type="dxa"/>
            <w:vAlign w:val="center"/>
          </w:tcPr>
          <w:p w14:paraId="058B225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2023-09-06</w:t>
            </w:r>
          </w:p>
        </w:tc>
        <w:tc>
          <w:tcPr>
            <w:tcW w:w="1843" w:type="dxa"/>
            <w:vAlign w:val="center"/>
          </w:tcPr>
          <w:p w14:paraId="62C4FD9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中华人民共和国国家卫生健康委员会、国家市场监督管理总局</w:t>
            </w:r>
          </w:p>
        </w:tc>
        <w:tc>
          <w:tcPr>
            <w:tcW w:w="992" w:type="dxa"/>
            <w:vAlign w:val="center"/>
          </w:tcPr>
          <w:p w14:paraId="62ECD684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国家食品安全风险评估中心牵头起草</w:t>
            </w:r>
          </w:p>
        </w:tc>
        <w:tc>
          <w:tcPr>
            <w:tcW w:w="992" w:type="dxa"/>
            <w:vAlign w:val="center"/>
          </w:tcPr>
          <w:p w14:paraId="4274B351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朱蕾、张泓牵头起草</w:t>
            </w:r>
          </w:p>
        </w:tc>
        <w:tc>
          <w:tcPr>
            <w:tcW w:w="62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512D72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51B3CC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74888D13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7</w:t>
            </w:r>
          </w:p>
        </w:tc>
        <w:tc>
          <w:tcPr>
            <w:tcW w:w="567" w:type="dxa"/>
            <w:vAlign w:val="center"/>
          </w:tcPr>
          <w:p w14:paraId="1342AA0F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国家标准</w:t>
            </w:r>
          </w:p>
        </w:tc>
        <w:tc>
          <w:tcPr>
            <w:tcW w:w="1984" w:type="dxa"/>
            <w:vAlign w:val="center"/>
          </w:tcPr>
          <w:p w14:paraId="5D904A4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食品安全国家标准</w:t>
            </w:r>
            <w:r>
              <w:rPr>
                <w:rFonts w:ascii="仿宋" w:hAnsi="仿宋" w:eastAsia="仿宋"/>
              </w:rPr>
              <w:t xml:space="preserve"> 食品接触材料及制品用油墨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79FDF7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3D3C0CC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GB 4806.14</w:t>
            </w:r>
          </w:p>
        </w:tc>
        <w:tc>
          <w:tcPr>
            <w:tcW w:w="709" w:type="dxa"/>
            <w:vAlign w:val="center"/>
          </w:tcPr>
          <w:p w14:paraId="1391343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2023-09-06</w:t>
            </w:r>
          </w:p>
        </w:tc>
        <w:tc>
          <w:tcPr>
            <w:tcW w:w="1843" w:type="dxa"/>
            <w:vAlign w:val="center"/>
          </w:tcPr>
          <w:p w14:paraId="0EF15C01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中华人民共和国国家卫生健康委员会、国家市场监督管理总局</w:t>
            </w:r>
          </w:p>
        </w:tc>
        <w:tc>
          <w:tcPr>
            <w:tcW w:w="992" w:type="dxa"/>
            <w:vAlign w:val="center"/>
          </w:tcPr>
          <w:p w14:paraId="483135AD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国家食品安全风险评估中心牵头起草</w:t>
            </w:r>
          </w:p>
        </w:tc>
        <w:tc>
          <w:tcPr>
            <w:tcW w:w="992" w:type="dxa"/>
            <w:vAlign w:val="center"/>
          </w:tcPr>
          <w:p w14:paraId="6DC9900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朱蕾、张泓牵头起草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F0F06C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34FB57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5AB33FC0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8</w:t>
            </w:r>
          </w:p>
        </w:tc>
        <w:tc>
          <w:tcPr>
            <w:tcW w:w="567" w:type="dxa"/>
            <w:vAlign w:val="center"/>
          </w:tcPr>
          <w:p w14:paraId="405DEE5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国家标准</w:t>
            </w:r>
          </w:p>
        </w:tc>
        <w:tc>
          <w:tcPr>
            <w:tcW w:w="1984" w:type="dxa"/>
            <w:vAlign w:val="center"/>
          </w:tcPr>
          <w:p w14:paraId="1920C3ED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食品安全国家标准</w:t>
            </w:r>
            <w:r>
              <w:rPr>
                <w:rFonts w:ascii="仿宋" w:hAnsi="仿宋" w:eastAsia="仿宋"/>
              </w:rPr>
              <w:t xml:space="preserve"> 食品接触材料及制品用黏合剂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6AFB13B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05F55115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GB 4806.15</w:t>
            </w:r>
          </w:p>
        </w:tc>
        <w:tc>
          <w:tcPr>
            <w:tcW w:w="709" w:type="dxa"/>
            <w:vAlign w:val="center"/>
          </w:tcPr>
          <w:p w14:paraId="14CB69F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2024-02-08</w:t>
            </w:r>
          </w:p>
        </w:tc>
        <w:tc>
          <w:tcPr>
            <w:tcW w:w="1843" w:type="dxa"/>
            <w:vAlign w:val="center"/>
          </w:tcPr>
          <w:p w14:paraId="3AEAB0C7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中华人民共和国国家卫生健康委员会、国家市场监督管理总局</w:t>
            </w:r>
          </w:p>
        </w:tc>
        <w:tc>
          <w:tcPr>
            <w:tcW w:w="992" w:type="dxa"/>
            <w:vAlign w:val="center"/>
          </w:tcPr>
          <w:p w14:paraId="5DDB43C9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国家食品安全风险评估中心牵头起草</w:t>
            </w:r>
          </w:p>
        </w:tc>
        <w:tc>
          <w:tcPr>
            <w:tcW w:w="992" w:type="dxa"/>
            <w:vAlign w:val="center"/>
          </w:tcPr>
          <w:p w14:paraId="0D7DA6D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朱蕾、张泓牵头起草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F2EA01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17DC89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65F6BA85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9</w:t>
            </w:r>
          </w:p>
        </w:tc>
        <w:tc>
          <w:tcPr>
            <w:tcW w:w="567" w:type="dxa"/>
            <w:vAlign w:val="center"/>
          </w:tcPr>
          <w:p w14:paraId="0F137E6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国家标准</w:t>
            </w:r>
          </w:p>
        </w:tc>
        <w:tc>
          <w:tcPr>
            <w:tcW w:w="1984" w:type="dxa"/>
            <w:vAlign w:val="center"/>
          </w:tcPr>
          <w:p w14:paraId="2D6E919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食品安全国家标准</w:t>
            </w:r>
            <w:r>
              <w:rPr>
                <w:rFonts w:ascii="仿宋" w:hAnsi="仿宋" w:eastAsia="仿宋"/>
              </w:rPr>
              <w:t xml:space="preserve"> 食品接触材料及制品 双酚F和双酚S迁移量的测定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4708C1D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2283E61B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GB 31604.54</w:t>
            </w:r>
          </w:p>
        </w:tc>
        <w:tc>
          <w:tcPr>
            <w:tcW w:w="709" w:type="dxa"/>
            <w:vAlign w:val="center"/>
          </w:tcPr>
          <w:p w14:paraId="79BF90B2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2023-09-06</w:t>
            </w:r>
          </w:p>
        </w:tc>
        <w:tc>
          <w:tcPr>
            <w:tcW w:w="1843" w:type="dxa"/>
            <w:vAlign w:val="center"/>
          </w:tcPr>
          <w:p w14:paraId="5F9CD59A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中华人民共和国国家卫生健康委员会、国家市场监督管理总局</w:t>
            </w:r>
          </w:p>
        </w:tc>
        <w:tc>
          <w:tcPr>
            <w:tcW w:w="992" w:type="dxa"/>
            <w:vAlign w:val="center"/>
          </w:tcPr>
          <w:p w14:paraId="0963B64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深圳市计量质量检测研究院牵头起草</w:t>
            </w:r>
          </w:p>
        </w:tc>
        <w:tc>
          <w:tcPr>
            <w:tcW w:w="992" w:type="dxa"/>
            <w:vAlign w:val="center"/>
          </w:tcPr>
          <w:p w14:paraId="6C86685C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杨俊牵头起草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55FC4A1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  <w:tr w14:paraId="0D8D30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16" w:type="dxa"/>
            <w:vAlign w:val="center"/>
          </w:tcPr>
          <w:p w14:paraId="089E92D4"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10</w:t>
            </w:r>
          </w:p>
        </w:tc>
        <w:tc>
          <w:tcPr>
            <w:tcW w:w="567" w:type="dxa"/>
            <w:vAlign w:val="center"/>
          </w:tcPr>
          <w:p w14:paraId="3D2817C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国家标准</w:t>
            </w:r>
          </w:p>
        </w:tc>
        <w:tc>
          <w:tcPr>
            <w:tcW w:w="1984" w:type="dxa"/>
            <w:vAlign w:val="center"/>
          </w:tcPr>
          <w:p w14:paraId="5B7EB52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食品安全国家标准</w:t>
            </w:r>
            <w:r>
              <w:rPr>
                <w:rFonts w:ascii="仿宋" w:hAnsi="仿宋" w:eastAsia="仿宋"/>
              </w:rPr>
              <w:t xml:space="preserve"> 食品接触材料及制品用添加剂使用标准(2018年后增补公告部分)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869161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</w:t>
            </w:r>
          </w:p>
        </w:tc>
        <w:tc>
          <w:tcPr>
            <w:tcW w:w="1134" w:type="dxa"/>
            <w:vAlign w:val="center"/>
          </w:tcPr>
          <w:p w14:paraId="3A034DBF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GB 9685</w:t>
            </w:r>
          </w:p>
        </w:tc>
        <w:tc>
          <w:tcPr>
            <w:tcW w:w="709" w:type="dxa"/>
            <w:vAlign w:val="center"/>
          </w:tcPr>
          <w:p w14:paraId="664ECCA3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2016-10-19</w:t>
            </w:r>
            <w:bookmarkStart w:id="1" w:name="_GoBack"/>
            <w:bookmarkEnd w:id="1"/>
          </w:p>
        </w:tc>
        <w:tc>
          <w:tcPr>
            <w:tcW w:w="1843" w:type="dxa"/>
            <w:vAlign w:val="center"/>
          </w:tcPr>
          <w:p w14:paraId="216AB6FE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中华人民共和国国家卫生健康委员会、国家市场监督管理总局</w:t>
            </w:r>
          </w:p>
        </w:tc>
        <w:tc>
          <w:tcPr>
            <w:tcW w:w="992" w:type="dxa"/>
            <w:vAlign w:val="center"/>
          </w:tcPr>
          <w:p w14:paraId="7C6CE176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国家食品安全风险评估中心牵头起草</w:t>
            </w:r>
          </w:p>
        </w:tc>
        <w:tc>
          <w:tcPr>
            <w:tcW w:w="992" w:type="dxa"/>
            <w:vAlign w:val="center"/>
          </w:tcPr>
          <w:p w14:paraId="6BA98A19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朱蕾、张泓牵头起草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1D9D88">
            <w:pPr>
              <w:pStyle w:val="2"/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</w:t>
            </w:r>
          </w:p>
        </w:tc>
      </w:tr>
    </w:tbl>
    <w:p w14:paraId="5A7D7E46">
      <w:pPr>
        <w:adjustRightInd w:val="0"/>
        <w:snapToGrid w:val="0"/>
        <w:spacing w:before="312" w:beforeLines="100" w:line="360" w:lineRule="auto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代表性论文专著目录（不超过</w:t>
      </w:r>
      <w:r>
        <w:rPr>
          <w:rFonts w:ascii="仿宋" w:hAnsi="仿宋" w:eastAsia="仿宋"/>
          <w:b/>
          <w:bCs/>
          <w:sz w:val="28"/>
          <w:szCs w:val="28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</w:rPr>
        <w:t>个）：</w:t>
      </w:r>
    </w:p>
    <w:tbl>
      <w:tblPr>
        <w:tblStyle w:val="5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6"/>
      </w:tblGrid>
      <w:tr w14:paraId="5EAF9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76" w:type="dxa"/>
            <w:vAlign w:val="center"/>
          </w:tcPr>
          <w:p w14:paraId="56C69613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专著1：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食品接触材料危害物检测与风险评估.科学出版社,2023.11,王志伟等著</w:t>
            </w:r>
          </w:p>
        </w:tc>
      </w:tr>
      <w:tr w14:paraId="6AFB6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76" w:type="dxa"/>
            <w:vAlign w:val="center"/>
          </w:tcPr>
          <w:p w14:paraId="40F42853"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论文2：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Two-phase molecular dynamics model to simulate the migration of additives from polypropylene material to food. International Journal of Heat and Mass Transfer, 2018, 122: 694-706. 第一作者王志伟, 通讯作者王志伟</w:t>
            </w:r>
          </w:p>
        </w:tc>
      </w:tr>
      <w:tr w14:paraId="14FBC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76" w:type="dxa"/>
            <w:vAlign w:val="center"/>
          </w:tcPr>
          <w:p w14:paraId="5A334FC9"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论文3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： Influence of cooking conditions on the migration of silicone oligomers from silicone rubber baking molds to food simulants. Food Chemistry, 2021, 347: 128964. 第一作者刘宜奇, 通讯作者胡长鹰, Cristina Nerin</w:t>
            </w:r>
          </w:p>
        </w:tc>
      </w:tr>
      <w:tr w14:paraId="5EDD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76" w:type="dxa"/>
          </w:tcPr>
          <w:p w14:paraId="557AE023"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论文4：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Calix[4]arene-based covalent organic frameworks with host-guest recognition for selective adsorption of six per- and polyfluoroalkyl substances in food followed by UHPLC-MS/MS detection. Journal of Hazardous Materials, 2023, 459: 132198. 第一作者谢增辉, 通讯作者胡玉玲, 李攻科</w:t>
            </w:r>
          </w:p>
        </w:tc>
      </w:tr>
      <w:tr w14:paraId="37207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76" w:type="dxa"/>
            <w:vAlign w:val="center"/>
          </w:tcPr>
          <w:p w14:paraId="6E3B3B3C"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论文5：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Migration of copper from nanocopper/polypropylene composite films and its functional property. Food Packaging and Shelf Life, 2019, 22: 100416. 第一作者姜紫薇,通讯作者胡长鹰, 朱蕾</w:t>
            </w:r>
          </w:p>
        </w:tc>
      </w:tr>
    </w:tbl>
    <w:p w14:paraId="112874B4">
      <w:pPr>
        <w:adjustRightInd w:val="0"/>
        <w:snapToGrid w:val="0"/>
        <w:spacing w:line="560" w:lineRule="exact"/>
        <w:ind w:right="960"/>
        <w:rPr>
          <w:rFonts w:ascii="微软雅黑" w:hAnsi="微软雅黑" w:eastAsia="微软雅黑"/>
          <w:sz w:val="24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51A9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0CED2DD">
                          <w:pPr>
                            <w:pStyle w:val="3"/>
                            <w:rPr>
                              <w:rStyle w:val="7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22C39CFA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GmCS9MAAAAFAQAADwAAAAAAAAABACAAAAAiAAAA&#10;ZHJzL2Rvd25yZXYueG1sUEsBAhQAFAAAAAgAh07iQBS1SNfTAQAApgMAAA4AAAAAAAAAAQAgAAAA&#10;Ig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0CED2DD">
                    <w:pPr>
                      <w:pStyle w:val="3"/>
                      <w:rPr>
                        <w:rStyle w:val="7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  <w:p w14:paraId="22C39CFA"/>
                </w:txbxContent>
              </v:textbox>
            </v:shape>
          </w:pict>
        </mc:Fallback>
      </mc:AlternateContent>
    </w:r>
    <w:r>
      <w:rPr>
        <w:rFonts w:hint="eastAsia"/>
        <w:szCs w:val="21"/>
      </w:rPr>
      <w:t>- 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C69"/>
    <w:rsid w:val="00001DBC"/>
    <w:rsid w:val="000039F7"/>
    <w:rsid w:val="000040CB"/>
    <w:rsid w:val="00006B2A"/>
    <w:rsid w:val="00015382"/>
    <w:rsid w:val="00020DF4"/>
    <w:rsid w:val="00034380"/>
    <w:rsid w:val="00047666"/>
    <w:rsid w:val="00053607"/>
    <w:rsid w:val="00062F27"/>
    <w:rsid w:val="000630DD"/>
    <w:rsid w:val="00074C4F"/>
    <w:rsid w:val="000754AB"/>
    <w:rsid w:val="00076C69"/>
    <w:rsid w:val="00076D59"/>
    <w:rsid w:val="00080F16"/>
    <w:rsid w:val="000810E2"/>
    <w:rsid w:val="00081E40"/>
    <w:rsid w:val="000861FD"/>
    <w:rsid w:val="00096BE6"/>
    <w:rsid w:val="000A21F4"/>
    <w:rsid w:val="000A35BF"/>
    <w:rsid w:val="000A3D9A"/>
    <w:rsid w:val="000B0427"/>
    <w:rsid w:val="000B118B"/>
    <w:rsid w:val="000B417A"/>
    <w:rsid w:val="000C2F26"/>
    <w:rsid w:val="000C54D3"/>
    <w:rsid w:val="000C7C97"/>
    <w:rsid w:val="000D1596"/>
    <w:rsid w:val="000D3D55"/>
    <w:rsid w:val="000D4114"/>
    <w:rsid w:val="000D53BE"/>
    <w:rsid w:val="000D70FD"/>
    <w:rsid w:val="000E07AE"/>
    <w:rsid w:val="000E348C"/>
    <w:rsid w:val="000F03FE"/>
    <w:rsid w:val="00100DCF"/>
    <w:rsid w:val="001064B3"/>
    <w:rsid w:val="00106D62"/>
    <w:rsid w:val="00107779"/>
    <w:rsid w:val="00122020"/>
    <w:rsid w:val="00126224"/>
    <w:rsid w:val="00130248"/>
    <w:rsid w:val="00130C68"/>
    <w:rsid w:val="001326BB"/>
    <w:rsid w:val="001407C4"/>
    <w:rsid w:val="001562B3"/>
    <w:rsid w:val="001573AB"/>
    <w:rsid w:val="00157B1D"/>
    <w:rsid w:val="00160A5B"/>
    <w:rsid w:val="00161252"/>
    <w:rsid w:val="0016200D"/>
    <w:rsid w:val="00174451"/>
    <w:rsid w:val="001805AE"/>
    <w:rsid w:val="001879BF"/>
    <w:rsid w:val="0019037A"/>
    <w:rsid w:val="00193551"/>
    <w:rsid w:val="001966D5"/>
    <w:rsid w:val="001A3F3D"/>
    <w:rsid w:val="001B1F91"/>
    <w:rsid w:val="001C00F9"/>
    <w:rsid w:val="001C1C87"/>
    <w:rsid w:val="001E0085"/>
    <w:rsid w:val="001E0FFF"/>
    <w:rsid w:val="001E22E3"/>
    <w:rsid w:val="001E37DE"/>
    <w:rsid w:val="001E5215"/>
    <w:rsid w:val="001E58E5"/>
    <w:rsid w:val="001E6290"/>
    <w:rsid w:val="001F209C"/>
    <w:rsid w:val="001F24FD"/>
    <w:rsid w:val="001F43F0"/>
    <w:rsid w:val="001F6A82"/>
    <w:rsid w:val="0020261D"/>
    <w:rsid w:val="00203554"/>
    <w:rsid w:val="00205424"/>
    <w:rsid w:val="002075C4"/>
    <w:rsid w:val="00210464"/>
    <w:rsid w:val="002127DA"/>
    <w:rsid w:val="002139C9"/>
    <w:rsid w:val="00216A32"/>
    <w:rsid w:val="0022083E"/>
    <w:rsid w:val="002239CE"/>
    <w:rsid w:val="002262E8"/>
    <w:rsid w:val="00231F28"/>
    <w:rsid w:val="00235957"/>
    <w:rsid w:val="00243744"/>
    <w:rsid w:val="0024694E"/>
    <w:rsid w:val="002469EA"/>
    <w:rsid w:val="00250D64"/>
    <w:rsid w:val="00254064"/>
    <w:rsid w:val="00271B4C"/>
    <w:rsid w:val="00277797"/>
    <w:rsid w:val="00283623"/>
    <w:rsid w:val="00291A71"/>
    <w:rsid w:val="00293AF4"/>
    <w:rsid w:val="00295ABB"/>
    <w:rsid w:val="00297A24"/>
    <w:rsid w:val="002A37B6"/>
    <w:rsid w:val="002A385C"/>
    <w:rsid w:val="002A39E1"/>
    <w:rsid w:val="002A56E3"/>
    <w:rsid w:val="002B340F"/>
    <w:rsid w:val="002B6C00"/>
    <w:rsid w:val="002B7724"/>
    <w:rsid w:val="002C2135"/>
    <w:rsid w:val="002C6C2D"/>
    <w:rsid w:val="002D0C32"/>
    <w:rsid w:val="002D7E38"/>
    <w:rsid w:val="002E16B1"/>
    <w:rsid w:val="002E3D9C"/>
    <w:rsid w:val="002E5598"/>
    <w:rsid w:val="002E5663"/>
    <w:rsid w:val="002E5C4D"/>
    <w:rsid w:val="002F0D6F"/>
    <w:rsid w:val="002F16AA"/>
    <w:rsid w:val="002F5AE5"/>
    <w:rsid w:val="0030104A"/>
    <w:rsid w:val="003012FA"/>
    <w:rsid w:val="00301B5F"/>
    <w:rsid w:val="00304271"/>
    <w:rsid w:val="003047BB"/>
    <w:rsid w:val="00306895"/>
    <w:rsid w:val="003127AB"/>
    <w:rsid w:val="00313528"/>
    <w:rsid w:val="00322242"/>
    <w:rsid w:val="00323CBD"/>
    <w:rsid w:val="003304AF"/>
    <w:rsid w:val="00330E71"/>
    <w:rsid w:val="0033331B"/>
    <w:rsid w:val="00334235"/>
    <w:rsid w:val="00335B06"/>
    <w:rsid w:val="0034025B"/>
    <w:rsid w:val="00341AB8"/>
    <w:rsid w:val="00341E6F"/>
    <w:rsid w:val="003453E7"/>
    <w:rsid w:val="00345D63"/>
    <w:rsid w:val="00350745"/>
    <w:rsid w:val="003520DE"/>
    <w:rsid w:val="003630DB"/>
    <w:rsid w:val="00364803"/>
    <w:rsid w:val="00377B43"/>
    <w:rsid w:val="00382BAE"/>
    <w:rsid w:val="00386D74"/>
    <w:rsid w:val="0038777F"/>
    <w:rsid w:val="00387E99"/>
    <w:rsid w:val="003A0964"/>
    <w:rsid w:val="003A2514"/>
    <w:rsid w:val="003A3F0A"/>
    <w:rsid w:val="003C5591"/>
    <w:rsid w:val="003C72B9"/>
    <w:rsid w:val="003E3BB1"/>
    <w:rsid w:val="003E4C38"/>
    <w:rsid w:val="003F0C8D"/>
    <w:rsid w:val="003F2568"/>
    <w:rsid w:val="003F3DF6"/>
    <w:rsid w:val="003F4953"/>
    <w:rsid w:val="003F7075"/>
    <w:rsid w:val="00401B75"/>
    <w:rsid w:val="00401CA0"/>
    <w:rsid w:val="0040320E"/>
    <w:rsid w:val="00404AC0"/>
    <w:rsid w:val="00405559"/>
    <w:rsid w:val="004128BB"/>
    <w:rsid w:val="0041328B"/>
    <w:rsid w:val="00415B54"/>
    <w:rsid w:val="004172E9"/>
    <w:rsid w:val="0042011A"/>
    <w:rsid w:val="00421D25"/>
    <w:rsid w:val="00422726"/>
    <w:rsid w:val="004237D6"/>
    <w:rsid w:val="0042518F"/>
    <w:rsid w:val="00430848"/>
    <w:rsid w:val="00431083"/>
    <w:rsid w:val="004313FA"/>
    <w:rsid w:val="00432860"/>
    <w:rsid w:val="004356E6"/>
    <w:rsid w:val="00437243"/>
    <w:rsid w:val="00440854"/>
    <w:rsid w:val="00441433"/>
    <w:rsid w:val="00444DF5"/>
    <w:rsid w:val="0044538B"/>
    <w:rsid w:val="004521BC"/>
    <w:rsid w:val="00457530"/>
    <w:rsid w:val="004728F8"/>
    <w:rsid w:val="00476BFB"/>
    <w:rsid w:val="004771D4"/>
    <w:rsid w:val="004854CE"/>
    <w:rsid w:val="00494341"/>
    <w:rsid w:val="00496FDC"/>
    <w:rsid w:val="004A2A96"/>
    <w:rsid w:val="004A53EA"/>
    <w:rsid w:val="004A5468"/>
    <w:rsid w:val="004B3D4C"/>
    <w:rsid w:val="004B4BE0"/>
    <w:rsid w:val="004C0D34"/>
    <w:rsid w:val="004C1644"/>
    <w:rsid w:val="004C51A3"/>
    <w:rsid w:val="004D0142"/>
    <w:rsid w:val="004D0D23"/>
    <w:rsid w:val="004D558B"/>
    <w:rsid w:val="004E5CF8"/>
    <w:rsid w:val="004E66E4"/>
    <w:rsid w:val="004F57EB"/>
    <w:rsid w:val="00500FFC"/>
    <w:rsid w:val="00505111"/>
    <w:rsid w:val="00506CD5"/>
    <w:rsid w:val="00512F90"/>
    <w:rsid w:val="00513F79"/>
    <w:rsid w:val="00522AF5"/>
    <w:rsid w:val="00531A23"/>
    <w:rsid w:val="00542C1E"/>
    <w:rsid w:val="00547209"/>
    <w:rsid w:val="00553B36"/>
    <w:rsid w:val="00563BBE"/>
    <w:rsid w:val="005646CB"/>
    <w:rsid w:val="005669CA"/>
    <w:rsid w:val="00574231"/>
    <w:rsid w:val="00576BBC"/>
    <w:rsid w:val="00583946"/>
    <w:rsid w:val="0058470B"/>
    <w:rsid w:val="005853DD"/>
    <w:rsid w:val="00593B40"/>
    <w:rsid w:val="00594037"/>
    <w:rsid w:val="00594AD4"/>
    <w:rsid w:val="005A350C"/>
    <w:rsid w:val="005B474A"/>
    <w:rsid w:val="005B6354"/>
    <w:rsid w:val="005C0109"/>
    <w:rsid w:val="005C19BB"/>
    <w:rsid w:val="005C258B"/>
    <w:rsid w:val="005C60F8"/>
    <w:rsid w:val="005C61F2"/>
    <w:rsid w:val="005C6A99"/>
    <w:rsid w:val="005D1193"/>
    <w:rsid w:val="005D1473"/>
    <w:rsid w:val="005E021B"/>
    <w:rsid w:val="005E1B2A"/>
    <w:rsid w:val="005F5DCE"/>
    <w:rsid w:val="00602DB1"/>
    <w:rsid w:val="00605DAA"/>
    <w:rsid w:val="00607CCF"/>
    <w:rsid w:val="00626393"/>
    <w:rsid w:val="00645C89"/>
    <w:rsid w:val="00653986"/>
    <w:rsid w:val="00657D8C"/>
    <w:rsid w:val="00662969"/>
    <w:rsid w:val="00666E80"/>
    <w:rsid w:val="00674D9A"/>
    <w:rsid w:val="00675103"/>
    <w:rsid w:val="006835D9"/>
    <w:rsid w:val="00686DEB"/>
    <w:rsid w:val="00687638"/>
    <w:rsid w:val="00697650"/>
    <w:rsid w:val="006A047A"/>
    <w:rsid w:val="006A1326"/>
    <w:rsid w:val="006A5051"/>
    <w:rsid w:val="006A5CFF"/>
    <w:rsid w:val="006A5D6A"/>
    <w:rsid w:val="006A5EE6"/>
    <w:rsid w:val="006B1670"/>
    <w:rsid w:val="006B4458"/>
    <w:rsid w:val="006B7A30"/>
    <w:rsid w:val="006C3875"/>
    <w:rsid w:val="006D093E"/>
    <w:rsid w:val="006D0DE2"/>
    <w:rsid w:val="006D42F4"/>
    <w:rsid w:val="006D4BBE"/>
    <w:rsid w:val="006E3206"/>
    <w:rsid w:val="006E6727"/>
    <w:rsid w:val="006E6ACC"/>
    <w:rsid w:val="006F4D23"/>
    <w:rsid w:val="006F5521"/>
    <w:rsid w:val="007006C7"/>
    <w:rsid w:val="007278FE"/>
    <w:rsid w:val="007315A7"/>
    <w:rsid w:val="00732CD2"/>
    <w:rsid w:val="0073634B"/>
    <w:rsid w:val="00737139"/>
    <w:rsid w:val="0073755C"/>
    <w:rsid w:val="00743546"/>
    <w:rsid w:val="0074441A"/>
    <w:rsid w:val="00751A3C"/>
    <w:rsid w:val="0075359D"/>
    <w:rsid w:val="00755AD2"/>
    <w:rsid w:val="00761C3B"/>
    <w:rsid w:val="00762613"/>
    <w:rsid w:val="00764925"/>
    <w:rsid w:val="007707C0"/>
    <w:rsid w:val="007741EA"/>
    <w:rsid w:val="00774E4B"/>
    <w:rsid w:val="00774F6D"/>
    <w:rsid w:val="00775052"/>
    <w:rsid w:val="0077675F"/>
    <w:rsid w:val="00777B2D"/>
    <w:rsid w:val="00783F42"/>
    <w:rsid w:val="00787DCC"/>
    <w:rsid w:val="00792958"/>
    <w:rsid w:val="00793AFD"/>
    <w:rsid w:val="0079783A"/>
    <w:rsid w:val="007A4928"/>
    <w:rsid w:val="007A68FC"/>
    <w:rsid w:val="007B4501"/>
    <w:rsid w:val="007B744B"/>
    <w:rsid w:val="007B79A4"/>
    <w:rsid w:val="007C5C2F"/>
    <w:rsid w:val="007C6FE8"/>
    <w:rsid w:val="007D50ED"/>
    <w:rsid w:val="007D5DBC"/>
    <w:rsid w:val="007D5FC5"/>
    <w:rsid w:val="007E2BAD"/>
    <w:rsid w:val="007E2DA1"/>
    <w:rsid w:val="007E490F"/>
    <w:rsid w:val="007F121B"/>
    <w:rsid w:val="007F6FCA"/>
    <w:rsid w:val="007F78A2"/>
    <w:rsid w:val="00800990"/>
    <w:rsid w:val="00806B2D"/>
    <w:rsid w:val="00816601"/>
    <w:rsid w:val="0082121B"/>
    <w:rsid w:val="00823EF6"/>
    <w:rsid w:val="00827A10"/>
    <w:rsid w:val="00833042"/>
    <w:rsid w:val="008412AC"/>
    <w:rsid w:val="00842D85"/>
    <w:rsid w:val="008532B6"/>
    <w:rsid w:val="00854CC2"/>
    <w:rsid w:val="00855609"/>
    <w:rsid w:val="00855A24"/>
    <w:rsid w:val="00864F88"/>
    <w:rsid w:val="008670E2"/>
    <w:rsid w:val="00870592"/>
    <w:rsid w:val="008738CB"/>
    <w:rsid w:val="00873AD0"/>
    <w:rsid w:val="008832C2"/>
    <w:rsid w:val="00892742"/>
    <w:rsid w:val="00897F45"/>
    <w:rsid w:val="00897F4D"/>
    <w:rsid w:val="008A0D93"/>
    <w:rsid w:val="008B0172"/>
    <w:rsid w:val="008C0866"/>
    <w:rsid w:val="008C0B17"/>
    <w:rsid w:val="008C0C57"/>
    <w:rsid w:val="008C1A6E"/>
    <w:rsid w:val="008C22EA"/>
    <w:rsid w:val="008C2FEE"/>
    <w:rsid w:val="008D33D5"/>
    <w:rsid w:val="008D5CE0"/>
    <w:rsid w:val="008E07EE"/>
    <w:rsid w:val="008E6D30"/>
    <w:rsid w:val="008F4044"/>
    <w:rsid w:val="008F5BED"/>
    <w:rsid w:val="0090705F"/>
    <w:rsid w:val="009105E5"/>
    <w:rsid w:val="0091456C"/>
    <w:rsid w:val="0091671B"/>
    <w:rsid w:val="00916E17"/>
    <w:rsid w:val="00917590"/>
    <w:rsid w:val="009213AB"/>
    <w:rsid w:val="009217AA"/>
    <w:rsid w:val="0092277D"/>
    <w:rsid w:val="0093686F"/>
    <w:rsid w:val="0095034A"/>
    <w:rsid w:val="00954260"/>
    <w:rsid w:val="0095445A"/>
    <w:rsid w:val="0095740A"/>
    <w:rsid w:val="0096045B"/>
    <w:rsid w:val="00961009"/>
    <w:rsid w:val="009669B3"/>
    <w:rsid w:val="00972901"/>
    <w:rsid w:val="0097558F"/>
    <w:rsid w:val="00980BF8"/>
    <w:rsid w:val="00983B15"/>
    <w:rsid w:val="00985511"/>
    <w:rsid w:val="00985B27"/>
    <w:rsid w:val="00991266"/>
    <w:rsid w:val="00996072"/>
    <w:rsid w:val="00996D3C"/>
    <w:rsid w:val="009A20F8"/>
    <w:rsid w:val="009B2ED4"/>
    <w:rsid w:val="009B501D"/>
    <w:rsid w:val="009B5B73"/>
    <w:rsid w:val="009B68A8"/>
    <w:rsid w:val="009B7BBF"/>
    <w:rsid w:val="009C4A81"/>
    <w:rsid w:val="009C7EA1"/>
    <w:rsid w:val="009D0F35"/>
    <w:rsid w:val="009D1BA0"/>
    <w:rsid w:val="009D4FFB"/>
    <w:rsid w:val="009E4D0F"/>
    <w:rsid w:val="009F3D5E"/>
    <w:rsid w:val="009F600D"/>
    <w:rsid w:val="009F7B1D"/>
    <w:rsid w:val="00A00D46"/>
    <w:rsid w:val="00A00EBE"/>
    <w:rsid w:val="00A027ED"/>
    <w:rsid w:val="00A1078B"/>
    <w:rsid w:val="00A1230F"/>
    <w:rsid w:val="00A12B2B"/>
    <w:rsid w:val="00A17317"/>
    <w:rsid w:val="00A178DA"/>
    <w:rsid w:val="00A2093E"/>
    <w:rsid w:val="00A21817"/>
    <w:rsid w:val="00A2745D"/>
    <w:rsid w:val="00A30831"/>
    <w:rsid w:val="00A35010"/>
    <w:rsid w:val="00A47533"/>
    <w:rsid w:val="00A4785C"/>
    <w:rsid w:val="00A51D14"/>
    <w:rsid w:val="00A5591D"/>
    <w:rsid w:val="00A57192"/>
    <w:rsid w:val="00A635F4"/>
    <w:rsid w:val="00A649B0"/>
    <w:rsid w:val="00A6650D"/>
    <w:rsid w:val="00A66518"/>
    <w:rsid w:val="00A67E7E"/>
    <w:rsid w:val="00A7136D"/>
    <w:rsid w:val="00A73263"/>
    <w:rsid w:val="00A741BE"/>
    <w:rsid w:val="00A746C3"/>
    <w:rsid w:val="00A83DAE"/>
    <w:rsid w:val="00A84CA2"/>
    <w:rsid w:val="00A94488"/>
    <w:rsid w:val="00AA0DB3"/>
    <w:rsid w:val="00AA310A"/>
    <w:rsid w:val="00AA5334"/>
    <w:rsid w:val="00AB018F"/>
    <w:rsid w:val="00AB03C2"/>
    <w:rsid w:val="00AB2B0E"/>
    <w:rsid w:val="00AB2E69"/>
    <w:rsid w:val="00AB319C"/>
    <w:rsid w:val="00AB33D6"/>
    <w:rsid w:val="00AC047F"/>
    <w:rsid w:val="00AC137B"/>
    <w:rsid w:val="00AC1FD4"/>
    <w:rsid w:val="00AC338B"/>
    <w:rsid w:val="00AC39F1"/>
    <w:rsid w:val="00AC4385"/>
    <w:rsid w:val="00AD08C3"/>
    <w:rsid w:val="00AD2AA4"/>
    <w:rsid w:val="00AE1622"/>
    <w:rsid w:val="00AE673C"/>
    <w:rsid w:val="00AF171C"/>
    <w:rsid w:val="00AF1E1D"/>
    <w:rsid w:val="00AF56F2"/>
    <w:rsid w:val="00AF6ADB"/>
    <w:rsid w:val="00AF7D28"/>
    <w:rsid w:val="00B1735A"/>
    <w:rsid w:val="00B24015"/>
    <w:rsid w:val="00B24CB7"/>
    <w:rsid w:val="00B30FB8"/>
    <w:rsid w:val="00B31ED9"/>
    <w:rsid w:val="00B35D8F"/>
    <w:rsid w:val="00B43541"/>
    <w:rsid w:val="00B474D1"/>
    <w:rsid w:val="00B5077B"/>
    <w:rsid w:val="00B51544"/>
    <w:rsid w:val="00B56CE1"/>
    <w:rsid w:val="00B60932"/>
    <w:rsid w:val="00B7670D"/>
    <w:rsid w:val="00B8638E"/>
    <w:rsid w:val="00B87164"/>
    <w:rsid w:val="00B87EDB"/>
    <w:rsid w:val="00B87F07"/>
    <w:rsid w:val="00B90F57"/>
    <w:rsid w:val="00B9689C"/>
    <w:rsid w:val="00B97ACF"/>
    <w:rsid w:val="00BA3F34"/>
    <w:rsid w:val="00BA54F1"/>
    <w:rsid w:val="00BB19CA"/>
    <w:rsid w:val="00BB2948"/>
    <w:rsid w:val="00BB3275"/>
    <w:rsid w:val="00BC6675"/>
    <w:rsid w:val="00BD00A7"/>
    <w:rsid w:val="00BD2532"/>
    <w:rsid w:val="00BD534B"/>
    <w:rsid w:val="00BD78FB"/>
    <w:rsid w:val="00BE3353"/>
    <w:rsid w:val="00BF543D"/>
    <w:rsid w:val="00BF594B"/>
    <w:rsid w:val="00C10ADC"/>
    <w:rsid w:val="00C21A0E"/>
    <w:rsid w:val="00C30D0A"/>
    <w:rsid w:val="00C355EF"/>
    <w:rsid w:val="00C36DF6"/>
    <w:rsid w:val="00C5303C"/>
    <w:rsid w:val="00C5318A"/>
    <w:rsid w:val="00C548E6"/>
    <w:rsid w:val="00C5545A"/>
    <w:rsid w:val="00C6431F"/>
    <w:rsid w:val="00C74718"/>
    <w:rsid w:val="00C750AB"/>
    <w:rsid w:val="00C76D5F"/>
    <w:rsid w:val="00C812B4"/>
    <w:rsid w:val="00C82664"/>
    <w:rsid w:val="00C87714"/>
    <w:rsid w:val="00C87FA1"/>
    <w:rsid w:val="00C910A2"/>
    <w:rsid w:val="00C94A11"/>
    <w:rsid w:val="00CA19FA"/>
    <w:rsid w:val="00CA77F4"/>
    <w:rsid w:val="00CB2423"/>
    <w:rsid w:val="00CB68B0"/>
    <w:rsid w:val="00CB68C4"/>
    <w:rsid w:val="00CC7C89"/>
    <w:rsid w:val="00CD0899"/>
    <w:rsid w:val="00CD1504"/>
    <w:rsid w:val="00CD5BE3"/>
    <w:rsid w:val="00CE11C3"/>
    <w:rsid w:val="00CE1A7E"/>
    <w:rsid w:val="00CE2AF9"/>
    <w:rsid w:val="00CE3B3A"/>
    <w:rsid w:val="00CF2FFF"/>
    <w:rsid w:val="00CF4205"/>
    <w:rsid w:val="00CF435C"/>
    <w:rsid w:val="00D00EE7"/>
    <w:rsid w:val="00D02BD1"/>
    <w:rsid w:val="00D07744"/>
    <w:rsid w:val="00D10A63"/>
    <w:rsid w:val="00D133BE"/>
    <w:rsid w:val="00D13DBF"/>
    <w:rsid w:val="00D14E90"/>
    <w:rsid w:val="00D203CD"/>
    <w:rsid w:val="00D20827"/>
    <w:rsid w:val="00D24998"/>
    <w:rsid w:val="00D2659A"/>
    <w:rsid w:val="00D26D8F"/>
    <w:rsid w:val="00D3041D"/>
    <w:rsid w:val="00D31A50"/>
    <w:rsid w:val="00D33BC4"/>
    <w:rsid w:val="00D41AE8"/>
    <w:rsid w:val="00D424EA"/>
    <w:rsid w:val="00D434A0"/>
    <w:rsid w:val="00D4428B"/>
    <w:rsid w:val="00D50BA8"/>
    <w:rsid w:val="00D5185C"/>
    <w:rsid w:val="00D556F1"/>
    <w:rsid w:val="00D56B11"/>
    <w:rsid w:val="00D6033D"/>
    <w:rsid w:val="00D622EB"/>
    <w:rsid w:val="00D64284"/>
    <w:rsid w:val="00D67B2C"/>
    <w:rsid w:val="00D703B4"/>
    <w:rsid w:val="00D71990"/>
    <w:rsid w:val="00D76E73"/>
    <w:rsid w:val="00D77901"/>
    <w:rsid w:val="00D879F8"/>
    <w:rsid w:val="00DA2F34"/>
    <w:rsid w:val="00DA7DA2"/>
    <w:rsid w:val="00DC3BE9"/>
    <w:rsid w:val="00DC3DA9"/>
    <w:rsid w:val="00DC768C"/>
    <w:rsid w:val="00DD0180"/>
    <w:rsid w:val="00DD6A66"/>
    <w:rsid w:val="00DD7143"/>
    <w:rsid w:val="00DE49CF"/>
    <w:rsid w:val="00DF2661"/>
    <w:rsid w:val="00DF5CAC"/>
    <w:rsid w:val="00E01224"/>
    <w:rsid w:val="00E03DFC"/>
    <w:rsid w:val="00E05B20"/>
    <w:rsid w:val="00E0618A"/>
    <w:rsid w:val="00E2054C"/>
    <w:rsid w:val="00E22BBE"/>
    <w:rsid w:val="00E25A2C"/>
    <w:rsid w:val="00E30E38"/>
    <w:rsid w:val="00E31E03"/>
    <w:rsid w:val="00E35F62"/>
    <w:rsid w:val="00E4365D"/>
    <w:rsid w:val="00E43812"/>
    <w:rsid w:val="00E43CDC"/>
    <w:rsid w:val="00E50F8B"/>
    <w:rsid w:val="00E51EDB"/>
    <w:rsid w:val="00E55407"/>
    <w:rsid w:val="00E6003B"/>
    <w:rsid w:val="00E60ABF"/>
    <w:rsid w:val="00E62DE3"/>
    <w:rsid w:val="00E65811"/>
    <w:rsid w:val="00E67AE7"/>
    <w:rsid w:val="00E76DB3"/>
    <w:rsid w:val="00E77819"/>
    <w:rsid w:val="00E77F83"/>
    <w:rsid w:val="00E85808"/>
    <w:rsid w:val="00EA00DE"/>
    <w:rsid w:val="00EA1639"/>
    <w:rsid w:val="00EA17F7"/>
    <w:rsid w:val="00EA1873"/>
    <w:rsid w:val="00EA2CFC"/>
    <w:rsid w:val="00EA45AF"/>
    <w:rsid w:val="00EA5905"/>
    <w:rsid w:val="00EA7703"/>
    <w:rsid w:val="00EC0CB6"/>
    <w:rsid w:val="00EC0DB6"/>
    <w:rsid w:val="00EC1D8B"/>
    <w:rsid w:val="00ED3575"/>
    <w:rsid w:val="00ED4D98"/>
    <w:rsid w:val="00EE28DE"/>
    <w:rsid w:val="00EE53CC"/>
    <w:rsid w:val="00EE6376"/>
    <w:rsid w:val="00EF171D"/>
    <w:rsid w:val="00EF27E8"/>
    <w:rsid w:val="00F004F7"/>
    <w:rsid w:val="00F026DA"/>
    <w:rsid w:val="00F1410E"/>
    <w:rsid w:val="00F144D6"/>
    <w:rsid w:val="00F1546C"/>
    <w:rsid w:val="00F1565B"/>
    <w:rsid w:val="00F15BDC"/>
    <w:rsid w:val="00F228C7"/>
    <w:rsid w:val="00F22CD6"/>
    <w:rsid w:val="00F27895"/>
    <w:rsid w:val="00F346C2"/>
    <w:rsid w:val="00F370E0"/>
    <w:rsid w:val="00F426FC"/>
    <w:rsid w:val="00F469C8"/>
    <w:rsid w:val="00F50CEC"/>
    <w:rsid w:val="00F53E4F"/>
    <w:rsid w:val="00F62E8D"/>
    <w:rsid w:val="00F6398F"/>
    <w:rsid w:val="00F643DE"/>
    <w:rsid w:val="00F70CB4"/>
    <w:rsid w:val="00F71046"/>
    <w:rsid w:val="00F72FBD"/>
    <w:rsid w:val="00F73217"/>
    <w:rsid w:val="00F7445B"/>
    <w:rsid w:val="00F97BA3"/>
    <w:rsid w:val="00FA1BC2"/>
    <w:rsid w:val="00FA1D47"/>
    <w:rsid w:val="00FA21C5"/>
    <w:rsid w:val="00FA5933"/>
    <w:rsid w:val="00FB35DA"/>
    <w:rsid w:val="00FB5E8D"/>
    <w:rsid w:val="00FB7A24"/>
    <w:rsid w:val="00FD12C3"/>
    <w:rsid w:val="00FD1420"/>
    <w:rsid w:val="00FE07FD"/>
    <w:rsid w:val="00FE2A60"/>
    <w:rsid w:val="00FE76AA"/>
    <w:rsid w:val="00FE779A"/>
    <w:rsid w:val="00FF3758"/>
    <w:rsid w:val="00FF5694"/>
    <w:rsid w:val="00FF5763"/>
    <w:rsid w:val="00FF6307"/>
    <w:rsid w:val="00FF665D"/>
    <w:rsid w:val="00FF7CE6"/>
    <w:rsid w:val="59C35D79"/>
    <w:rsid w:val="5B8C1277"/>
    <w:rsid w:val="FDC3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纯文本 字符"/>
    <w:basedOn w:val="6"/>
    <w:link w:val="2"/>
    <w:qFormat/>
    <w:uiPriority w:val="0"/>
    <w:rPr>
      <w:rFonts w:ascii="仿宋_GB2312" w:hAnsi="Times New Roman" w:eastAsia="宋体" w:cs="Times New Roman"/>
      <w:sz w:val="24"/>
      <w:szCs w:val="24"/>
    </w:rPr>
  </w:style>
  <w:style w:type="paragraph" w:customStyle="1" w:styleId="11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1661</Words>
  <Characters>2476</Characters>
  <Lines>19</Lines>
  <Paragraphs>5</Paragraphs>
  <TotalTime>64</TotalTime>
  <ScaleCrop>false</ScaleCrop>
  <LinksUpToDate>false</LinksUpToDate>
  <CharactersWithSpaces>2672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2025-12-26T08:59:00Z</dcterms:created>
  <dc:creator>科学技术研究处</dc:creator>
  <cp:lastModifiedBy> </cp:lastModifiedBy>
  <dcterms:modified xsi:type="dcterms:W3CDTF">2025-12-26T09:52:03Z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eyJoZGlkIjoiNmM2MGI2NGE0ODM3ZDliOTgwM2I4Y2VlM2E0YmFmMWEiLCJ1c2VySWQiOiIxMDUxNDQ4NTk4In0=</vt:lpwstr>
  </property>
  <property fmtid="{D5CDD505-2E9C-101B-9397-08002B2CF9AE}" pid="3" name="KSOProductBuildVer">
    <vt:lpwstr>2052-12.1.0.24034</vt:lpwstr>
  </property>
  <property fmtid="{D5CDD505-2E9C-101B-9397-08002B2CF9AE}" pid="4" name="ICV">
    <vt:lpwstr>6938353AA092BE30F1514E696A4CF974</vt:lpwstr>
  </property>
</Properties>
</file>